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NPL-Barometer 2026 in Zahlen</w:t>
      </w:r>
    </w:p>
    <w:p>
      <w:r>
        <w:rPr>
          <w:b w:val="0"/>
        </w:rPr>
        <w:t>Geschäftsklima und NPL-Bestände im Verlauf, Erwartungen bis 2027 und die wichtigsten Branchenbefunde. Istwerte, Panel-Erwartungen und CRIF-Prognose sind jeweils gekennzeichnet.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948"/>
        <w:gridCol w:w="2835"/>
        <w:gridCol w:w="3855"/>
      </w:tblGrid>
      <w:tr>
        <w:trPr>
          <w:cantSplit/>
          <w:tblHeader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Kennzahl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Wert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Zeitraum und Quelle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Geschäftsklima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+0,32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Erhebung 2026; Vorjahr +0,31 · BKS / Frankfurt School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Lage und Erwartung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+0,33 / +0,32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Erhebung Januar–Mai 2026; je zwölf Monate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NPL-Volumen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50,1 Mrd. Euro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EBA-Ist am 31.03.2026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NPL-Volumen erwartet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50,4 / 53,1 Mrd. Euro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Panel zum 31.12.2026 / 31.12.2027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NPL-Quote KMU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4,3 % → 5,1 % → 5,7 %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EBA Q1 2026 → Panel Ende 2026 → Ende 2027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NPL-Quote Gewerbeimmobilien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6,8 % → 6,5 % → 6,5 %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EBA Q1 2026 → Panel Ende 2026 → Ende 2027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NPL-Quote Wohnimmobilien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1,0 % → 1,1 % → 1,2 %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EBA Q1 2026 → Panel Ende 2026 → Ende 2027</w:t>
            </w:r>
          </w:p>
        </w:tc>
      </w:tr>
    </w:tbl>
    <w:p>
      <w:pPr>
        <w:spacing w:after="0"/>
      </w:pPr>
    </w:p>
    <w:p>
      <w:r>
        <w:drawing>
          <wp:inline xmlns:a="http://schemas.openxmlformats.org/drawingml/2006/main" xmlns:pic="http://schemas.openxmlformats.org/drawingml/2006/picture">
            <wp:extent cx="6048000" cy="340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Barometer_seit_201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8000" cy="340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 w:val="0"/>
          <w:sz w:val="18"/>
        </w:rPr>
        <w:t>Das Klima stieg aus der negativen Niedrigzinsphase auf +0,46 im Jahr 2023 und liegt 2026 bei +0,32. Hohe Werte beschreiben einen aktiveren NPL-Markt aus Käufersicht.</w:t>
      </w:r>
    </w:p>
    <w:p>
      <w:r>
        <w:br w:type="page"/>
      </w:r>
    </w:p>
    <w:p>
      <w:pPr>
        <w:pStyle w:val="Heading1"/>
      </w:pPr>
      <w:r>
        <w:t>Branchen und Risikobeobachtung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948"/>
        <w:gridCol w:w="2835"/>
        <w:gridCol w:w="3855"/>
      </w:tblGrid>
      <w:tr>
        <w:trPr>
          <w:cantSplit/>
          <w:tblHeader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Kennzahl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Wert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183F52"/>
          </w:tcPr>
          <w:p>
            <w:pPr>
              <w:spacing w:after="0" w:line="252" w:lineRule="auto"/>
            </w:pPr>
            <w:r>
              <w:rPr>
                <w:b/>
                <w:color w:val="FFFFFF"/>
                <w:sz w:val="18"/>
              </w:rPr>
              <w:t>Zeitraum und Abgrenzung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ESG Branchenabstand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DE 2,80 / EU/EWR 0,74 pp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31.12.2025; NPE-Quotendifferenz · EBA ESG_6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Immobilienanteil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59,9 %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31.12.2025; NPEs in klimaintensiven Sektoren von sieben Instituten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Stage-2-Quote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DE 15,0 / EU/EWR 9,1 %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31.03.2026; Kredite zu fortgeführten Anschaffungskosten · EBA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Unternehmensinsolvenzen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24.064 / bis zu 26.000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2025 Destatis-Ist / 2026 CRIF-Prognose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Vier größte CRIF-Branchenanteile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Zusammen rund 61 %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H1 2026: Verarbeitung 22,7 %, Gastgewerbe 13,4 %, Bau 13,3 %, Handel 11,7 %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Unternehmen gefährdet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322.890 / 10,3 %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September 2026; Zahl der gefährdeten Unternehmen: +1,4 % zum Vorjahr · CRIF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Privatinsolvenzen H1 2026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54.900 / +4,5 %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FFFFF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Halbjahres-Ist / Veränderung gegenüber H1 2025 · CRIF</w:t>
            </w:r>
          </w:p>
        </w:tc>
      </w:tr>
      <w:tr>
        <w:trPr>
          <w:cantSplit/>
        </w:trPr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Privatinsolvenzen 2026</w:t>
            </w:r>
          </w:p>
        </w:tc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110.000 erwartet</w:t>
            </w:r>
          </w:p>
        </w:tc>
        <w:tc>
          <w:tcPr>
            <w:tcW w:type="dxa" w:w="385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F1F5F7"/>
          </w:tcPr>
          <w:p>
            <w:pPr>
              <w:spacing w:after="0" w:line="252" w:lineRule="auto"/>
            </w:pPr>
            <w:r>
              <w:rPr>
                <w:b w:val="0"/>
                <w:color w:val="000000"/>
                <w:sz w:val="18"/>
              </w:rPr>
              <w:t>CRIF-Jahresprognose; 2025: knapp 108.000 Fälle</w:t>
            </w:r>
          </w:p>
        </w:tc>
      </w:tr>
    </w:tbl>
    <w:p>
      <w:pPr>
        <w:spacing w:after="0"/>
      </w:pPr>
    </w:p>
    <w:p>
      <w:pPr/>
      <w:r>
        <w:rPr>
          <w:b/>
        </w:rPr>
        <w:t xml:space="preserve">Sieben Banken im Vergleich. </w:t>
      </w:r>
      <w:r>
        <w:t>Ausgewertet wurden Deutsche Bank, Helaba, Commerzbank, DZ BANK, Deutsche Pfandbriefbank, BayernLB und DekaBank. Über ihre zusammengefassten Bestände beträgt die NPE-Quote in klimaintensiven Branchen 4,59 Prozent, in den übrigen Branchen 1,16 Prozent. Der Abstand von 3,43 Prozentpunkten liegt über den 2,8 Prozentpunkten des EBA-Deutschlandaggregats. Beide Auswertungen zeigen dieselbe Richtung, beruhen aber auf unterschiedlichen Bankenkreisen. Die Quoten werden aus den jeweiligen Summen der NPE und Bruttobuchwerte berechnet; es handelt sich nicht um den einfachen Durchschnitt der Bankquoten. Stichtag: 31. Dezember 2025.</w:t>
      </w:r>
    </w:p>
    <w:p>
      <w:pPr>
        <w:pStyle w:val="Heading1"/>
      </w:pPr>
      <w:r>
        <w:t>Gefährdungsquoten innerhalb der Branchen</w:t>
      </w:r>
    </w:p>
    <w:p>
      <w:r>
        <w:rPr>
          <w:b w:val="0"/>
        </w:rPr>
        <w:t>CRIF nennt Gastronomie (13,2 %), Kfz-Handel (12,5 %), Fußboden-, Fliesen- und Plattenlegerei sowie Tapeziererei (12,3 %), Baugewerbe (12,1 %) und Bautischlerei und -schlosserei (11,8 %). Die Anteile beziehen sich auf Unternehmen der jeweiligen Branche; Bonitätsindex 4,5–6,0.</w:t>
      </w:r>
    </w:p>
    <w:p>
      <w:r>
        <w:rPr>
          <w:b w:val="0"/>
          <w:sz w:val="18"/>
        </w:rPr>
        <w:t>Ausgewählte Länder, Stand September 2026: Berlin 14,9 %, Thüringen 12,9 %, Nordrhein-Westfalen 11,8 % und Hessen 10,7 %. In Nordrhein-Westfalen gelten 74.800 Unternehmen als gefährdet. Keine vollständige Länderrangliste.</w:t>
      </w:r>
    </w:p>
    <w:p>
      <w:r>
        <w:br w:type="page"/>
      </w:r>
    </w:p>
    <w:p>
      <w:pPr>
        <w:pStyle w:val="Heading1"/>
      </w:pPr>
      <w:r>
        <w:t>Begriffe richtig einordnen</w:t>
      </w:r>
    </w:p>
    <w:p>
      <w:r>
        <w:rPr>
          <w:b/>
        </w:rPr>
        <w:t xml:space="preserve">NPL. </w:t>
      </w:r>
      <w:r>
        <w:t>Non-performing loans sind notleidende Kredite. Maßgeblich sind insbesondere wesentliche Zahlungsrückstände von mehr als 90 Tagen oder die Einschätzung, dass eine vollständige Rückzahlung ohne Verwertung von Sicherheiten unwahrscheinlich ist.</w:t>
      </w:r>
    </w:p>
    <w:p>
      <w:r>
        <w:rPr>
          <w:b/>
        </w:rPr>
        <w:t xml:space="preserve">NPE. </w:t>
      </w:r>
      <w:r>
        <w:t>Non-performing exposures sind notleidende Engagements. Der Begriff ist weiter als NPL und umfasst je nach Abgrenzung auch andere Forderungen und außerbilanzielle Positionen. Die ESG-Grafiken verwenden NPE-Quoten.</w:t>
      </w:r>
    </w:p>
    <w:p>
      <w:r>
        <w:rPr>
          <w:b/>
        </w:rPr>
      </w:r>
      <w:r/>
      <w:r>
        <w:rPr>
          <w:b/>
        </w:rPr>
        <w:t xml:space="preserve">Stage 2 und Stage 3. </w:t>
      </w:r>
      <w:r>
        <w:t>Stage 2 umfasst Kredite, deren Ausfallrisiko seit Erstansatz deutlich gestiegen ist, bei denen aber noch keine Bonitätsbeeinträchtigung vorliegt. Stage 3 bezeichnet Kredite mit bereits eingetretener Wertminderung: Verlustereignisse wie Zahlungsausfälle oder erhebliche finanzielle Schwierigkeiten des Schuldners beeinträchtigen die erwarteten Rückzahlungen. Die Bank bildet dafür Risikovorsorge über die gesamte Restlaufzeit. Stage 3 ist damit mehr als ein erhöhtes Risiko; aufsichtsrechtliche NPL/NPE und die IFRS-9-Stufen sind dennoch nicht deckungsgleich.</w:t>
      </w:r>
    </w:p>
    <w:p>
      <w:r>
        <w:rPr>
          <w:b/>
        </w:rPr>
      </w:r>
      <w:r/>
      <w:r/>
      <w:r>
        <w:rPr>
          <w:b/>
        </w:rPr>
        <w:t xml:space="preserve">Panel und Teilnehmende. </w:t>
      </w:r>
      <w:r>
        <w:t>Im Panel sind Privatbanken, Pfandbriefbanken, Genossenschaftsbanken, Landesbanken, Sparkassen und Förderbanken vertreten. Die Befragten arbeiten in spezialisierten Fachpositionen sowie auf Abteilungs-, Geschäftsbereichsleitungs-, Vorstands- und Geschäftsführungsebene. Erhoben werden Einschätzungen zu NPL-Beständen, Verkaufspreisen, Portfolioverkäufen und Auslagerungen, Regulierung und Immobilienpreisen. Die Antwortbasis der einzelnen Sachfragen variiert. Quelle: NPL-Barometer 2026, Kapitel 2; Erhebungsauswertung „Struktur“.</w:t>
      </w:r>
    </w:p>
    <w:p>
      <w:pPr>
        <w:pStyle w:val="Heading1"/>
      </w:pPr>
      <w:r>
        <w:t>CRIF Umfragen zur finanziellen Lage</w:t>
      </w:r>
    </w:p>
    <w:p>
      <w:r>
        <w:rPr>
          <w:b w:val="0"/>
        </w:rPr>
        <w:t>Unternehmen in Deutschland: 87 % sorgen sich um ihre finanzielle Entwicklung in den kommenden zwölf Monaten; 61 % bezeichnen die Lage als unsicherste bislang erlebte Zeit; 54 % erwarten deutlich steigende Betriebskosten. Privatpersonen: 79 % sorgen sich um ihre finanzielle Situation, 38 % erwarten weniger Geld am Monatsende, 28 % einen sinkenden Lebensstandard und 51 % planen geringere Ausgaben.</w:t>
      </w:r>
    </w:p>
    <w:p>
      <w:r>
        <w:rPr>
          <w:b w:val="0"/>
          <w:sz w:val="18"/>
        </w:rPr>
        <w:t>Quelle: CRIF-Nachlieferung September 2026. Die Umfragewerte beziehen sich auf die Befragten. Stichprobengröße und Feldzeit wurden nicht mitgeliefert. Erwartungen sind von Bonitätseinstufungen und gezählten Insolvenzen zu unterscheiden. CRIF-Privatinsolvenzen sind weiter gefasst als die amtliche Kategorie Verbraucherinsolvenzen.</w:t>
      </w:r>
    </w:p>
    <w:p>
      <w:pPr>
        <w:pStyle w:val="Heading1"/>
      </w:pPr>
      <w:r>
        <w:t>Methodik und Quellen</w:t>
      </w:r>
    </w:p>
    <w:p>
      <w:r>
        <w:rPr>
          <w:b w:val="0"/>
          <w:sz w:val="18"/>
        </w:rPr>
        <w:t>Barometer: Erhebung Januar–Mai 2026, Redaktionsschluss 03.09.2026. CRIF-Ergänzung: September 2026. Klima-Skala −1 bis +1. Ab Herbst 2023 werden „nicht betroffen“-Antworten aus der Berechnungsbasis herausgenommen. ESG: NACE A–H und L im Bankbuch gegenüber nichtfinanziellen Unternehmen. Der Branchenabstand beschreibt keinen isolierten Effekt von Klimapolitik. CRIF-Branchenanteile geben die Verteilung der Fälle wieder, keine Ausfallwahrscheinlichkeit einer Branche.</w:t>
      </w:r>
    </w:p>
    <w:p>
      <w:r>
        <w:rPr>
          <w:b w:val="0"/>
          <w:sz w:val="18"/>
        </w:rPr>
        <w:t>Quellen: NPL-Barometer 2026, Kapitel 2–7; EBA Risk Dashboard Q1 2026; EBA ESG Data Annex Q4 2025; Pillar-3-ESG-Offenlegungen; Destatis; CRIF Deutschland. Datentabellen und genaue Abgrenzungen: 04_Daten_zu_den_Grafiken.xlsx und Bildunterschriften.md.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134" w:bottom="907" w:left="1134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Faktenblatt 14.09.2026   · 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/>
    <w:r>
      <w:rPr>
        <w:b/>
        <w:sz w:val="16"/>
      </w:rPr>
      <w:t>BKS   NPL-BAROMETER 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4" w:lineRule="auto"/>
    </w:pPr>
    <w:rPr>
      <w:rFonts w:ascii="Arial" w:hAnsi="Arial"/>
      <w:color w:val="00000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rial" w:hAnsi="Arial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NPL-Barometer 2026 in Zahlen</dc:title>
  <dc:subject/>
  <dc:creator>Bundesvereinigung Kreditankauf und Servicing e.V.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